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7338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 октября</w:t>
      </w:r>
      <w:r>
        <w:rPr>
          <w:rFonts w:ascii="Times New Roman" w:eastAsia="Times New Roman" w:hAnsi="Times New Roman" w:cs="Times New Roman"/>
        </w:rPr>
        <w:t xml:space="preserve">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 А.А.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участием ответчика Арчакова С.В.,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«ЭкоСтройРесурс» к наследникам, принявшим наследство после Аникиной В.В.</w:t>
      </w:r>
      <w:r>
        <w:rPr>
          <w:rFonts w:ascii="Times New Roman" w:eastAsia="Times New Roman" w:hAnsi="Times New Roman" w:cs="Times New Roman"/>
        </w:rPr>
        <w:t>, Арчакову С.В.,</w:t>
      </w:r>
      <w:r>
        <w:rPr>
          <w:rFonts w:ascii="Times New Roman" w:eastAsia="Times New Roman" w:hAnsi="Times New Roman" w:cs="Times New Roman"/>
        </w:rPr>
        <w:t xml:space="preserve"> о взыскании задолженности за предоставленные услуги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Общество с ограниченной ответственностью «ЭкоСтройРесурс» (далее - ООО «ЭкоСтройРесурс») обратилось в суд с исковым заявлением о взыскании с наследников, принявших наследство после Аникиной В.В., умершей </w:t>
      </w:r>
      <w:r>
        <w:rPr>
          <w:rStyle w:val="cat-UserDefinedgrp-1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за счет наследственного имущества, состоящего из объекта недвижимого имущества, расположенного по адресу: </w:t>
      </w:r>
      <w:r>
        <w:rPr>
          <w:rStyle w:val="cat-UserDefinedgrp-6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задолженности за предоставляемые услуги по обращению с твердыми коммунальными отходами за период с 01.01.2019 по 31.12.2022 в размере </w:t>
      </w:r>
      <w:r>
        <w:rPr>
          <w:rStyle w:val="cat-UserDefinedgrp-65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расходов по уплате государственной пошлины в размере </w:t>
      </w:r>
      <w:r>
        <w:rPr>
          <w:rStyle w:val="cat-UserDefinedgrp-66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ООО «ЭкоСтройРесурс» просило установить круг наследников, принявших наследство после смерти Аникиной В.В., привлечь их к участию в деле, взыскать за счет наследственного имущества наследодателя образовавшуюся задолженность в вышеуказанной сумме.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Представитель истца о времени и месте судебного заседания извещен надлежащим образом, просил о рассмотрении дела в его отсутствие. В соответствии со статьей 167 Гражданского процессуального кодекса Российской Федерации, мировой судья счёл возможным рассмотреть дело в отсутствие истца.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Ответчик Арчаков С.В. в судебном заседании пояснил, что исковые требования не признает, поскольку собственником объект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недвижимости, расположенн</w:t>
      </w:r>
      <w:r>
        <w:rPr>
          <w:rFonts w:ascii="Times New Roman" w:eastAsia="Times New Roman" w:hAnsi="Times New Roman" w:cs="Times New Roman"/>
        </w:rPr>
        <w:t>ых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64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является. После смерти матери он выдал доверенность своей сестре, которая занималась вопросами оформления наследства, а также продажей дома в </w:t>
      </w:r>
      <w:r>
        <w:rPr>
          <w:rStyle w:val="cat-UserDefinedgrp-67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Свидетельства о праве на наследство по закону на объекты: </w:t>
      </w:r>
      <w:r>
        <w:rPr>
          <w:rStyle w:val="cat-UserDefinedgrp-68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лично не получал, право собственности на данные объекты не регистрировал. </w:t>
      </w:r>
      <w:r>
        <w:rPr>
          <w:rFonts w:ascii="Times New Roman" w:eastAsia="Times New Roman" w:hAnsi="Times New Roman" w:cs="Times New Roman"/>
        </w:rPr>
        <w:t xml:space="preserve">Какие-либо договоры с ООО «ЭкоСтройРесурс» не заключал. </w:t>
      </w:r>
      <w:r>
        <w:rPr>
          <w:rFonts w:ascii="Times New Roman" w:eastAsia="Times New Roman" w:hAnsi="Times New Roman" w:cs="Times New Roman"/>
        </w:rPr>
        <w:t xml:space="preserve">Знает, что его матерью Аникиной В.В. договоры с истцом также не заключались. </w:t>
      </w:r>
      <w:r>
        <w:rPr>
          <w:rFonts w:ascii="Times New Roman" w:eastAsia="Times New Roman" w:hAnsi="Times New Roman" w:cs="Times New Roman"/>
        </w:rPr>
        <w:t>Дом является объектом незавершенного строительства, в нем никто не проживает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твердые коммунальные отходы отсутствуют. </w:t>
      </w:r>
      <w:r>
        <w:rPr>
          <w:rFonts w:ascii="Times New Roman" w:eastAsia="Times New Roman" w:hAnsi="Times New Roman" w:cs="Times New Roman"/>
        </w:rPr>
        <w:t xml:space="preserve">Никакие услуги по месту нахождения жилого дома ООО «ЭкоСтройРесурс» не оказываются.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</w:t>
      </w:r>
      <w:r>
        <w:rPr>
          <w:rFonts w:ascii="Times New Roman" w:eastAsia="Times New Roman" w:hAnsi="Times New Roman" w:cs="Times New Roman"/>
        </w:rPr>
        <w:t xml:space="preserve">выслушав ответчика, </w:t>
      </w:r>
      <w:r>
        <w:rPr>
          <w:rFonts w:ascii="Times New Roman" w:eastAsia="Times New Roman" w:hAnsi="Times New Roman" w:cs="Times New Roman"/>
        </w:rPr>
        <w:t>исследовав и проанализировав письменные материалы дела, приходит к следующим выводам и по следующим основаниям.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ООО «ЭкоСтройРесурс» обратилось в суд с исковым заявлением о взыскании с наследников, принявших наследство после Аникиной В.В., умершей </w:t>
      </w:r>
      <w:r>
        <w:rPr>
          <w:rStyle w:val="cat-UserDefinedgrp-11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 счет наследственного имущества, состоящего из объекта недвижимого имущества, расположенного по адресу: </w:t>
      </w:r>
      <w:r>
        <w:rPr>
          <w:rStyle w:val="cat-UserDefinedgrp-64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задолженности за предоставляемые услуги по обращению с твердыми коммунальными отходами.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08.12.2023 исковое заявление было принято к производству судьей Жигулевского городского суда Самарской области.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Определением Жигулевского городского суда Самарской области от 22.02.2024 </w:t>
      </w:r>
      <w:r>
        <w:rPr>
          <w:rFonts w:ascii="Times New Roman" w:eastAsia="Times New Roman" w:hAnsi="Times New Roman" w:cs="Times New Roman"/>
        </w:rPr>
        <w:t xml:space="preserve">к участию в гражданском деле в качестве соответчика привлечен Арчаков С.В., гражданское дело передано для рассмотрения по подсудности в Сургутский городской суд ХМАО-Югры.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05.04.2024 </w:t>
      </w:r>
      <w:r>
        <w:rPr>
          <w:rFonts w:ascii="Times New Roman" w:eastAsia="Times New Roman" w:hAnsi="Times New Roman" w:cs="Times New Roman"/>
        </w:rPr>
        <w:t>гражданское дело принято к производству судьей Сургутского городского суда ХМАО-Югры.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Определением Сургутского городского суда ХМАО-Югры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15.07.2024 гражданское дело передано по подсудности мировому судье судебного участка № 3 Сургутского судебного района города окружного значения Сургута ХМАО-Югры.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0164072/entry/11753" w:history="1">
        <w:r>
          <w:rPr>
            <w:rFonts w:ascii="Times New Roman" w:eastAsia="Times New Roman" w:hAnsi="Times New Roman" w:cs="Times New Roman"/>
            <w:color w:val="0000EE"/>
          </w:rPr>
          <w:t>п. 3 ст. 1175</w:t>
        </w:r>
      </w:hyperlink>
      <w:r>
        <w:rPr>
          <w:rFonts w:ascii="Times New Roman" w:eastAsia="Times New Roman" w:hAnsi="Times New Roman" w:cs="Times New Roman"/>
        </w:rPr>
        <w:t xml:space="preserve"> ГК РФ кредиторы наследодателя вправе предъявить свои требования к принявшим наследство наследникам в пределах сроков исковой давности, установленных для соответствующих требований. До принятия наследства требования кредиторов могут быть предъявлены к наследственному имуществу, в целях сохранения которого к участию в деле привлекается исполнитель завещания или нотариус. В последнем случае суд приостанавливает рассмотрение дела до принятия наследства наследниками или перехода выморочного имущества в соответствии со ст. 1151 настоящего Кодекса к Российской Федерации, субъекту Российской Федерации или муниципальному образованию.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hyperlink r:id="rId4" w:anchor="/document/70183406/entry/6" w:history="1">
        <w:r>
          <w:rPr>
            <w:rFonts w:ascii="Times New Roman" w:eastAsia="Times New Roman" w:hAnsi="Times New Roman" w:cs="Times New Roman"/>
            <w:color w:val="0000EE"/>
          </w:rPr>
          <w:t>пункте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29.05.2012 № 9 «О судебной практике по делам о наследовании» разъяснено, что до принятия наследства исковое заявление может быть предъявлено к исполнителю завещания или к наследственному имуществу.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1113 ГК РФ наследство открывается со смертью гражданина.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состав наследства входят принадлежащие наследодателю на день открытия наследства вещи, иное имущество, в том числе имущественные права и обязанности.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разъяснено в п. 14 Постановления Пленума Верховного Суда Российской Федерации от 29.05.2012 № 9 «О судебной практике по делам о наследовании», в состав наследства входит принадлежавшее наследодателю на день открытия наследства имущество, в частности: вещи, включая деньги и ценные бумаги; имущественные права (в том числе права, вытекающие из договоров, заключенных наследодателем, если иное не предусмотрено законом или договором; исключительные права на результаты интеллектуальной деятельности или на средства индивидуализации; права на получение присужденных наследодателю, но не полученных им денежных сумм); имущественные обязанности, в том числе долги в пределах стоимости перешедшего к наследникам наследственного имущества (</w:t>
      </w:r>
      <w:hyperlink r:id="rId4" w:anchor="/document/10164072/entry/11751" w:history="1">
        <w:r>
          <w:rPr>
            <w:rFonts w:ascii="Times New Roman" w:eastAsia="Times New Roman" w:hAnsi="Times New Roman" w:cs="Times New Roman"/>
            <w:color w:val="0000EE"/>
          </w:rPr>
          <w:t>пункт 1 статьи 1175</w:t>
        </w:r>
      </w:hyperlink>
      <w:r>
        <w:rPr>
          <w:rFonts w:ascii="Times New Roman" w:eastAsia="Times New Roman" w:hAnsi="Times New Roman" w:cs="Times New Roman"/>
        </w:rPr>
        <w:t xml:space="preserve"> ГК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содержания искового заявлении и приложенных к нему документов следует, что истец ООО «ЭкоСтройРесурс» обратился в Жигулевский городской суд Самарской области с требованием о взыскании с наследников, принявших наследство после смерти Аникиной В.В., умершей </w:t>
      </w:r>
      <w:r>
        <w:rPr>
          <w:rStyle w:val="cat-UserDefinedgrp-11rplc-5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счет наследственного имущества, состоящего из жилого дома, расположенного по адресу: </w:t>
      </w:r>
      <w:r>
        <w:rPr>
          <w:rStyle w:val="cat-UserDefinedgrp-64rplc-5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задолженности за предоставляемые услуги по обращению с твёрдыми коммунальными отходами за период с 01.01.2019 по 31.12.2022 в размере </w:t>
      </w:r>
      <w:r>
        <w:rPr>
          <w:rStyle w:val="cat-UserDefinedgrp-65rplc-6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расходов по уплате государственной пошлины в размере </w:t>
      </w:r>
      <w:r>
        <w:rPr>
          <w:rStyle w:val="cat-UserDefinedgrp-66rplc-6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Мировым судье установлено, что задолженность, предъявленная в настоящем споре, возникла после смерти Аникиной В.В., следовательно, требования о взыскании задолженности за предоставляемые услуги по обращению с твёрдыми коммунальными отходами за период с 01.01.2019 по 31.12.2022 не являются долгом наследодателя и не могут быть включены в наследственную массу.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4" w:anchor="/document/70183406/entry/10011" w:history="1">
        <w:r>
          <w:rPr>
            <w:rFonts w:ascii="Times New Roman" w:eastAsia="Times New Roman" w:hAnsi="Times New Roman" w:cs="Times New Roman"/>
            <w:color w:val="0000EE"/>
          </w:rPr>
          <w:t>абзаца 2 пункта 2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29.05.2012 № 9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 судебной практике по делам о наследовании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дела по требованиям, основанным на обязательствах, которые возникают у наследников после принятия наследства (например, по уплате после открытия наследства процентов по кредитному договору, заключенному наследодателем, по коммунальным платежам за унаследованную квартиру и др.), подсудны мировому судье в качестве суда первой инстанции при цене иска, не превышающей пятидесяти тысяч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настоящее гражданское дело подсудно мировому судье.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30 ЖК РФ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 (п.1).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 Под обращением с твердыми коммунальными отходами для целей Жилищного Кодекса и иных актов жилищного законодательства понимаются транспортирование, обезвреживание, захоронение твердых коммунальных отходов (п. 5).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 1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(ч. 3 ст. 153 ЖК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Структура платы за коммунальные услуги в редакции действующего закона раскрыта в ч. 4 ст. 154 ЖК РФ, в которую включена плата за обращение с твердыми коммунальными отходами.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 (п. 3 ст. 154 ЖК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 1 ст. 157 ЖК РФ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абз. 16 ст. 6 Федерального закона от 24 июня 1998 года № 89-ФЗ «Об отходах производства и потребления» к полномочиям субъектов Российской Федерации в области обращения с отходами относятся организация деятельности по накоплению (в том числе раздельному накоплению), сбору, транспортированию, обработке, утилизации, и захоронению твердых коммунальных отходов.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целях реализации задач, предусмотренных Федеральным законом от 24 июня 1998 года № 89-ФЗ «Об отходах производства и потребления», а также в связи с изменением правового регулирования и необходимостью определения статуса регионального оператора Правительством Российской Федерации 12 ноября 2016 года принято постановление № 1156 об утверждении Правил обращения с твердыми коммунальными отходами, устанавливающими порядок осуществления сбора, транспортирования, обработки, утилизации, обезвреживания и захоронения твердых коммунальных отходов на территории Российской Федерации. Сбор, транспортирование, обработка, утилизация, обезвреживание,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санитарно-эпидемиологического благополучия населения (п. 3 раздел I). При этом,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на основании договоров на оказание услуг по обращению с твердыми коммунальными отходами, заключенных с потребителями (п. 4 раздел I).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4 ст. 24.7 Закона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ч. 20 ст. 12 Федерального закона от 29 июня 2015 года № 176-ФЗ «О внесении изменений в Жилищный кодекс Российской Федерации и отдельные законодательные акты Российской Федерации» обязанность по внесению платы за коммунальную услугу по обращению с твердыми коммунальными отходами наступает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соответствующего субъекта Российской Федерации и региональным оператором по обращению с твердыми коммунальными отходами, но не позднее 1 января 2019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 правоотношениям, связанным с оказанием физическим лицам такой услуги, как сбор и вывоз ТКО применимы правила ГК РФ о публичном договоре.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1 ст. 426 ГК РФ публичным договором признается договор, заключенный коммерческой организацией и устанавливающий ее обязанности по продаже товаров, выполнению работ или оказанию услуг, которые такая организация по характеру своей деятельности должна осуществлять в отношении каждого, кто к ней обратится (розничная торговля, перевозка транспортом общего пользования, услуги связи, энергоснабжение, медицинское, гостиничное обслуживание и т.п.).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 содержания п. 8 (17) раздела I (1) Правил обращения с твердыми коммунальными отходами, утвержденных Постановлением Правительства РФ от 12 ноября 2016 года № 1156 следует, что 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если потребитель не направил региональному оператору заявку потребителя и документы в соответствии с пп. 8 (5) - 8 (7) настоящих Правил в указанный срок, договор на оказание услуг по обращению с твердыми коммунальными отходами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информационно-телекоммуникационной сети «Интернет».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Таким образом, с учетом приведенных правил, если потребитель не направил региональному оператору заявку и документы, договор на оказание услуг считается заключенным и вступает в силу на 16-й рабочий день после публикации на официальном сайте регионального оператора.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01.11.2018 между Министерством энергетики и жилищно-коммунального хозяйства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>
        <w:rPr>
          <w:rFonts w:ascii="Times New Roman" w:eastAsia="Times New Roman" w:hAnsi="Times New Roman" w:cs="Times New Roman"/>
        </w:rPr>
        <w:t xml:space="preserve"> и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ЭкоСтройРесурс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заключено соглашение об осуществлении деятельности регионального оператора по обращению с твердыми коммунальными отходами на всей территории</w:t>
      </w:r>
      <w:r>
        <w:rPr>
          <w:rFonts w:ascii="Times New Roman" w:eastAsia="Times New Roman" w:hAnsi="Times New Roman" w:cs="Times New Roman"/>
        </w:rPr>
        <w:t xml:space="preserve"> Самарской области.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 2.16 данного соглашения региональный оператор начинает осуществлять деятельность по обращению с ТКО с установленной даты применения утвержденного (принятого) уполномоченным органом исполнительной власти в сфере регулирования тарифов единого тарифа на услуги регионального оператора, но не позднее чем с</w:t>
      </w:r>
      <w:r>
        <w:rPr>
          <w:rFonts w:ascii="Times New Roman" w:eastAsia="Times New Roman" w:hAnsi="Times New Roman" w:cs="Times New Roman"/>
        </w:rPr>
        <w:t xml:space="preserve"> 01.01.2019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Предельный тариф на услуги регионального оператора установлен приказом Министерства энергетики и жилищно-коммунального хозяйства</w:t>
      </w:r>
      <w:r>
        <w:rPr>
          <w:rFonts w:ascii="Times New Roman" w:eastAsia="Times New Roman" w:hAnsi="Times New Roman" w:cs="Times New Roman"/>
        </w:rPr>
        <w:t xml:space="preserve"> Самарской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18.12.2018 №</w:t>
      </w:r>
      <w:r>
        <w:rPr>
          <w:rFonts w:ascii="Times New Roman" w:eastAsia="Times New Roman" w:hAnsi="Times New Roman" w:cs="Times New Roman"/>
        </w:rPr>
        <w:t xml:space="preserve"> 846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Об установлении единого предельного тарифа на услугу регионального оператора по обращению с твердыми коммунальными отходами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ЭкоСтройРесурс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приказом Департамента ценового и тарифного регулирования Самарской области № 781 от 19.12.2019 «Об установлении единого предельного тарифа на услугу регионального оператора по обращению с твердыми коммунальными отходами ООО «ЭкоСтройРесурс», и составляет для населения с 01.01.2019 по 30.06.2021 – 598,16 руб./м3, с 01.07.2021 по 30.06.2022 – 618,17 руб./м3, с 01.07.2022 по 31.12.2022 – 638,95 руб./м3.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Приказом Министерства энергетики и жилищно-коммунального хозяйства Самарской области от 29 декабря 2018 года № 1023 «Об утверждении и применении нормативов накопления твердых коммунальных отходов на территории городских округов Самарской области на 1 кв. метр общей площади жилого помещения» утверждены нормативы накопления твердых коммунальных отходов на территории городских округов Самарской области на 1 кв. метр общей площади жилого помещении (0, 091 м3/год с 1 кв.м), которые применяются для городских округов Самарской области, утвержден перечень городских округов, для которых применяются данные нормативы. Город Жигулевск Самарской области включен в перечень городских округов, для которых применяются нормативы накопления твердых коммунальных отходов на 1 кв. метр общей площади жилого помещения, согласно приложению 2 к указанному Приказу.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Поскольку органом государственной власти Самарской области принято решение по оплате коммунальной услуги по обращению с ТКО на территории г. Жигулевск исходя из нормативов накопления твердых коммунальных отходов на 1 кв. м общей площади жилого помещения, это в силу закона влечет начисление платежей по обращению с ТКО исходя из общей площади жилого помещения, оплачивать которые должны собственники помещения, вне зависимости от количества проживающих в жилом помещении лиц, либо их отсутствия.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</w:rPr>
        <w:t>на имя Аникиной В.В. о</w:t>
      </w:r>
      <w:r>
        <w:rPr>
          <w:rFonts w:ascii="Times New Roman" w:eastAsia="Times New Roman" w:hAnsi="Times New Roman" w:cs="Times New Roman"/>
        </w:rPr>
        <w:t xml:space="preserve">ткрыт лицевой счет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69rplc-10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объекту недвижимости расположенно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64rplc-10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огласно представленной в дело карточке расчетов по данному лицевому счету, задолженность по обращению с ТКО за период с </w:t>
      </w:r>
      <w:r>
        <w:rPr>
          <w:rFonts w:ascii="Times New Roman" w:eastAsia="Times New Roman" w:hAnsi="Times New Roman" w:cs="Times New Roman"/>
        </w:rPr>
        <w:t xml:space="preserve">01.01.2019 по 31.12.2022 </w:t>
      </w:r>
      <w:r>
        <w:rPr>
          <w:rFonts w:ascii="Times New Roman" w:eastAsia="Times New Roman" w:hAnsi="Times New Roman" w:cs="Times New Roman"/>
        </w:rPr>
        <w:t xml:space="preserve">составила </w:t>
      </w:r>
      <w:r>
        <w:rPr>
          <w:rStyle w:val="cat-UserDefinedgrp-65rplc-1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платежи за услугу не осуществлялись.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выпиской из Единого государственного реестра недвижимости об объекте недвижимости от 31.10.2024 № </w:t>
      </w:r>
      <w:r>
        <w:rPr>
          <w:rStyle w:val="cat-UserDefinedgrp-70rplc-1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правообладателем объекта (объект индивидуального жилищного строительства), расположенного по адресу: </w:t>
      </w:r>
      <w:r>
        <w:rPr>
          <w:rStyle w:val="cat-UserDefinedgrp-64rplc-1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является Аникина В.В.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сведениям Отдела ЗАГС городского округа Жигулевск управления ЗАГС Самарской области, Аник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на В.В. умерла </w:t>
      </w:r>
      <w:r>
        <w:rPr>
          <w:rStyle w:val="cat-UserDefinedgrp-11rplc-1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 ответа нотариуса следует, что в производстве нотариуса </w:t>
      </w:r>
      <w:r>
        <w:rPr>
          <w:rStyle w:val="cat-UserDefinedgrp-71rplc-1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имеется наследственное дело после умершей </w:t>
      </w:r>
      <w:r>
        <w:rPr>
          <w:rStyle w:val="cat-UserDefinedgrp-11rplc-1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Аникиной В.В. Свидетельства о праве на наследство по закону выданы </w:t>
      </w:r>
      <w:r>
        <w:rPr>
          <w:rStyle w:val="cat-UserDefinedgrp-72rplc-1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сыну умершей – Арчакову Сергею Владимировичу,</w:t>
      </w:r>
      <w:r>
        <w:rPr>
          <w:rFonts w:ascii="Times New Roman" w:eastAsia="Times New Roman" w:hAnsi="Times New Roman" w:cs="Times New Roman"/>
        </w:rPr>
        <w:t xml:space="preserve"> то есть ответчику,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земельный участок, находящийся по адресу: </w:t>
      </w:r>
      <w:r>
        <w:rPr>
          <w:rStyle w:val="cat-UserDefinedgrp-73rplc-1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на иное имущество.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Принятое наследство признается принадлежащим наследнику со дня открытия наследства независимо от времени его фактического принятия, а также независимо от момента государственной регистрации права наследника на наследственное имущество, когда такое право подлежит государственной регистрации (</w:t>
      </w:r>
      <w:hyperlink r:id="rId4" w:anchor="/document/10164072/entry/11524" w:history="1">
        <w:r>
          <w:rPr>
            <w:rFonts w:ascii="Times New Roman" w:eastAsia="Times New Roman" w:hAnsi="Times New Roman" w:cs="Times New Roman"/>
            <w:color w:val="0000EE"/>
          </w:rPr>
          <w:t>п. 4 ст. 1152</w:t>
        </w:r>
      </w:hyperlink>
      <w:r>
        <w:rPr>
          <w:rFonts w:ascii="Times New Roman" w:eastAsia="Times New Roman" w:hAnsi="Times New Roman" w:cs="Times New Roman"/>
        </w:rPr>
        <w:t xml:space="preserve"> ГК РФ).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учетом</w:t>
      </w:r>
      <w:r>
        <w:rPr>
          <w:rFonts w:ascii="Times New Roman" w:eastAsia="Times New Roman" w:hAnsi="Times New Roman" w:cs="Times New Roman"/>
        </w:rPr>
        <w:t xml:space="preserve"> изложенного</w:t>
      </w:r>
      <w:r>
        <w:rPr>
          <w:rFonts w:ascii="Times New Roman" w:eastAsia="Times New Roman" w:hAnsi="Times New Roman" w:cs="Times New Roman"/>
        </w:rPr>
        <w:t xml:space="preserve">, объекты земельный участок и жилой дом, находящиеся по адресу: </w:t>
      </w:r>
      <w:r>
        <w:rPr>
          <w:rStyle w:val="cat-UserDefinedgrp-64rplc-1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 дня открытия наследства принадлеж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т ответчику Арчакову С.В.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задолженность</w:t>
      </w:r>
      <w:r>
        <w:rPr>
          <w:rFonts w:ascii="Times New Roman" w:eastAsia="Times New Roman" w:hAnsi="Times New Roman" w:cs="Times New Roman"/>
        </w:rPr>
        <w:t xml:space="preserve"> за предоставляемые услуги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</w:rPr>
        <w:t>, образовавшаяся за период с 01.01.2019 по 31.12.2022, под</w:t>
      </w:r>
      <w:r>
        <w:rPr>
          <w:rFonts w:ascii="Times New Roman" w:eastAsia="Times New Roman" w:hAnsi="Times New Roman" w:cs="Times New Roman"/>
        </w:rPr>
        <w:t xml:space="preserve">лежит взысканию с Арчакова С.В.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Доводы ответчика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Арчакова С.В. </w:t>
      </w:r>
      <w:r>
        <w:rPr>
          <w:rFonts w:ascii="Times New Roman" w:eastAsia="Times New Roman" w:hAnsi="Times New Roman" w:cs="Times New Roman"/>
        </w:rPr>
        <w:t xml:space="preserve">о том, что право собственности на указанный выше жилой дом </w:t>
      </w:r>
      <w:r>
        <w:rPr>
          <w:rFonts w:ascii="Times New Roman" w:eastAsia="Times New Roman" w:hAnsi="Times New Roman" w:cs="Times New Roman"/>
        </w:rPr>
        <w:t xml:space="preserve">и земельный участок </w:t>
      </w:r>
      <w:r>
        <w:rPr>
          <w:rFonts w:ascii="Times New Roman" w:eastAsia="Times New Roman" w:hAnsi="Times New Roman" w:cs="Times New Roman"/>
        </w:rPr>
        <w:t xml:space="preserve">не зарегистрировано, </w:t>
      </w:r>
      <w:r>
        <w:rPr>
          <w:rFonts w:ascii="Times New Roman" w:eastAsia="Times New Roman" w:hAnsi="Times New Roman" w:cs="Times New Roman"/>
        </w:rPr>
        <w:t>по изложенным выше основаниям, мировой судья находит несостоятельными.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Из информации, представленной нотариусом следует, что ответчику выданы свидетельства о праве на наследство по закону на земельный участок и жилой дом, находящиеся по адресу: </w:t>
      </w:r>
      <w:r>
        <w:rPr>
          <w:rStyle w:val="cat-UserDefinedgrp-64rplc-1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Доводы ответчика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отсутствии договорных отношений с региональным оператором ООО «ЭкоСтройРесурс» на предоставление услуги по обращению с твердыми коммунальными отходами на объект недвижимости, мировой судья также признает несостоятельными, поскольку в силу приведенных выше норм законодательства договор с региональным оператором считается заключенным вне зависимости от соблюдения формальных условий его заключения и подписи потребителем, заключение договора в письменной форме персонально с собственником жилого помещения не предусмотрено, оказываемые потребителю услуги, вне зависимости от даты заключения договора подлежат оплате с 01.01.2019, то есть с даты фактического оказания региональным оператором услуг потребителю.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соответствии с</w:t>
      </w:r>
      <w:r>
        <w:rPr>
          <w:rFonts w:ascii="Times New Roman" w:eastAsia="Times New Roman" w:hAnsi="Times New Roman" w:cs="Times New Roman"/>
        </w:rPr>
        <w:t xml:space="preserve"> ч. 11 ст. 155 </w:t>
      </w:r>
      <w:r>
        <w:rPr>
          <w:rFonts w:ascii="Times New Roman" w:eastAsia="Times New Roman" w:hAnsi="Times New Roman" w:cs="Times New Roman"/>
        </w:rPr>
        <w:t>ЖК РФ неиспользование собственниками, нанимателями и иными лицами помещений не является основанием невнесения платы за жилое помещение и коммунальные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услуги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Мировым судьей проверен расчет</w:t>
      </w:r>
      <w:r>
        <w:rPr>
          <w:rFonts w:ascii="Times New Roman" w:eastAsia="Times New Roman" w:hAnsi="Times New Roman" w:cs="Times New Roman"/>
        </w:rPr>
        <w:t xml:space="preserve"> задолженности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суммы ежемесячного платежа за услуги по обращению с ТКО </w:t>
      </w:r>
      <w:r>
        <w:rPr>
          <w:rFonts w:ascii="Times New Roman" w:eastAsia="Times New Roman" w:hAnsi="Times New Roman" w:cs="Times New Roman"/>
        </w:rPr>
        <w:t xml:space="preserve">за период с 01.01.2019 по 30.11.2022 </w:t>
      </w:r>
      <w:r>
        <w:rPr>
          <w:rFonts w:ascii="Times New Roman" w:eastAsia="Times New Roman" w:hAnsi="Times New Roman" w:cs="Times New Roman"/>
        </w:rPr>
        <w:t xml:space="preserve">произведен </w:t>
      </w:r>
      <w:r>
        <w:rPr>
          <w:rFonts w:ascii="Times New Roman" w:eastAsia="Times New Roman" w:hAnsi="Times New Roman" w:cs="Times New Roman"/>
        </w:rPr>
        <w:t xml:space="preserve">истцом </w:t>
      </w:r>
      <w:r>
        <w:rPr>
          <w:rFonts w:ascii="Times New Roman" w:eastAsia="Times New Roman" w:hAnsi="Times New Roman" w:cs="Times New Roman"/>
        </w:rPr>
        <w:t>следующим образом: 181,3 кв.м. (общая площадь жилого помещения) х 0,091 м3/год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(норматив накопления ТКО) х 598 руб./м3 (цена на коммунальную услугу по обращению с ТКО, определенная в пределах единого тарифа на </w:t>
      </w:r>
      <w:r>
        <w:rPr>
          <w:rFonts w:ascii="Times New Roman" w:eastAsia="Times New Roman" w:hAnsi="Times New Roman" w:cs="Times New Roman"/>
        </w:rPr>
        <w:t>услугу регионального оператора) / 12 мес. (количество месяцев в году)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составляет </w:t>
      </w:r>
      <w:r>
        <w:rPr>
          <w:rStyle w:val="cat-UserDefinedgrp-74rplc-15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суммы ежемесячного платежа за услуги по обращению с ТКО за период с 01.12.2022 по 31.12.2022 в размере </w:t>
      </w:r>
      <w:r>
        <w:rPr>
          <w:rStyle w:val="cat-UserDefinedgrp-75rplc-16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истцом не представлен.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 учетом указанного, и</w:t>
      </w:r>
      <w:r>
        <w:rPr>
          <w:rFonts w:ascii="Times New Roman" w:eastAsia="Times New Roman" w:hAnsi="Times New Roman" w:cs="Times New Roman"/>
        </w:rPr>
        <w:t xml:space="preserve">стец просит взыскать </w:t>
      </w:r>
      <w:r>
        <w:rPr>
          <w:rFonts w:ascii="Times New Roman" w:eastAsia="Times New Roman" w:hAnsi="Times New Roman" w:cs="Times New Roman"/>
        </w:rPr>
        <w:t xml:space="preserve">задолженность за предоставляемые услуги по обращению с твердыми коммунальными отходами за период с 01.01.2019 по 31.12.2022 в размере </w:t>
      </w:r>
      <w:r>
        <w:rPr>
          <w:rStyle w:val="cat-UserDefinedgrp-65rplc-16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то есть, </w:t>
      </w:r>
      <w:r>
        <w:rPr>
          <w:rStyle w:val="cat-UserDefinedgrp-76rplc-16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 расчету мирового судьи, с учетом вышеуказанных тарифов, задолженность образована следующим образом.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суммы ежемесячного платежа за услуги по обращению с ТКО за период с 01.01.2019 по 30.06.2021 - 181,3 кв.м. (общая площадь жилого помещения) х 0,091 м3/год (норматив накопления ТКО) х 598 руб./м3 (цена на коммунальную услугу по обращению с ТКО, определенная в пределах единого тарифа на услугу регионального оператора) / 12 мес. (количество месяцев в году), что составляет </w:t>
      </w:r>
      <w:r>
        <w:rPr>
          <w:rStyle w:val="cat-UserDefinedgrp-74rplc-17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суммы ежемесячного платежа за услуги по обращению с ТКО за период с 01.07.2021 по 30.06.2022 - 181,3 кв.м. (общая площадь жилого помещения) х 0,091 м3/год (норматив накопления ТКО) х 618,17 руб./м3 (цена на коммунальную услугу по обращению с ТКО, определенная в пределах единого тарифа на услугу регионального оператора) / 12 мес. (количество месяцев в году), что составляет </w:t>
      </w:r>
      <w:r>
        <w:rPr>
          <w:rStyle w:val="cat-UserDefinedgrp-77rplc-17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суммы ежемесячного платежа за услуги по обращению с ТКО за период с 01.07.2022 по 31.12.2022 - 181,3 кв.м. (общая площадь жилого помещения) х 0,091 м3/год (норматив накопления ТКО) х 638,95 руб./м3 (цена на коммунальную услугу по обращению с ТКО, определенная в пределах единого тарифа на услугу регионального оператора) / 12 мес. (количество месяцев в году), что составляет </w:t>
      </w:r>
      <w:r>
        <w:rPr>
          <w:rStyle w:val="cat-UserDefinedgrp-78rplc-18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задолженность составляет: </w:t>
      </w:r>
      <w:r>
        <w:rPr>
          <w:rStyle w:val="cat-UserDefinedgrp-79rplc-18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уд не может выйти за пределы заявленных требований, следовательно, требование о взыскании </w:t>
      </w:r>
      <w:r>
        <w:rPr>
          <w:rFonts w:ascii="Times New Roman" w:eastAsia="Times New Roman" w:hAnsi="Times New Roman" w:cs="Times New Roman"/>
        </w:rPr>
        <w:t>задолженности</w:t>
      </w:r>
      <w:r>
        <w:rPr>
          <w:rFonts w:ascii="Times New Roman" w:eastAsia="Times New Roman" w:hAnsi="Times New Roman" w:cs="Times New Roman"/>
        </w:rPr>
        <w:t xml:space="preserve"> подлежит удовлетворению в заявленном размере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силу ст. 88 Гражданского процессуального кодекса Российской Федерации судебные расходы состоят из государственной пошлины и издержек, связанных с рассмотрением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1 ст.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 пропорционально удовлетворенным требованиям.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 xml:space="preserve">ст.ст. </w:t>
      </w:r>
      <w:r>
        <w:rPr>
          <w:rFonts w:ascii="Times New Roman" w:eastAsia="Times New Roman" w:hAnsi="Times New Roman" w:cs="Times New Roman"/>
        </w:rPr>
        <w:t>194-199</w:t>
      </w:r>
      <w:r>
        <w:rPr>
          <w:rFonts w:ascii="Times New Roman" w:eastAsia="Times New Roman" w:hAnsi="Times New Roman" w:cs="Times New Roman"/>
        </w:rPr>
        <w:t xml:space="preserve"> Гражданского процессуального кодекса Российской Федерации,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Иск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«ЭкоСтройРесурс» к наследникам, принявшим наследство после Аникиной </w:t>
      </w:r>
      <w:r>
        <w:rPr>
          <w:rFonts w:ascii="Times New Roman" w:eastAsia="Times New Roman" w:hAnsi="Times New Roman" w:cs="Times New Roman"/>
        </w:rPr>
        <w:t>Валентины Васильевны</w:t>
      </w:r>
      <w:r>
        <w:rPr>
          <w:rFonts w:ascii="Times New Roman" w:eastAsia="Times New Roman" w:hAnsi="Times New Roman" w:cs="Times New Roman"/>
        </w:rPr>
        <w:t>, Арчакову С</w:t>
      </w:r>
      <w:r>
        <w:rPr>
          <w:rFonts w:ascii="Times New Roman" w:eastAsia="Times New Roman" w:hAnsi="Times New Roman" w:cs="Times New Roman"/>
        </w:rPr>
        <w:t>ергею Владимировичу</w:t>
      </w:r>
      <w:r>
        <w:rPr>
          <w:rFonts w:ascii="Times New Roman" w:eastAsia="Times New Roman" w:hAnsi="Times New Roman" w:cs="Times New Roman"/>
        </w:rPr>
        <w:t>, о взыскании задолженности за предоставленные услуги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удовлетворить.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</w:t>
      </w:r>
      <w:r>
        <w:rPr>
          <w:rFonts w:ascii="Times New Roman" w:eastAsia="Times New Roman" w:hAnsi="Times New Roman" w:cs="Times New Roman"/>
        </w:rPr>
        <w:t xml:space="preserve">с Арчакова </w:t>
      </w:r>
      <w:r>
        <w:rPr>
          <w:rFonts w:ascii="Times New Roman" w:eastAsia="Times New Roman" w:hAnsi="Times New Roman" w:cs="Times New Roman"/>
        </w:rPr>
        <w:t>Серге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Владимирович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UserDefinedgrp-80rplc-19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«ЭкоСтройРесурс»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81rplc-19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задолженност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 за предоставл</w:t>
      </w:r>
      <w:r>
        <w:rPr>
          <w:rFonts w:ascii="Times New Roman" w:eastAsia="Times New Roman" w:hAnsi="Times New Roman" w:cs="Times New Roman"/>
        </w:rPr>
        <w:t xml:space="preserve">енные </w:t>
      </w:r>
      <w:r>
        <w:rPr>
          <w:rFonts w:ascii="Times New Roman" w:eastAsia="Times New Roman" w:hAnsi="Times New Roman" w:cs="Times New Roman"/>
        </w:rPr>
        <w:t xml:space="preserve">услуги по обращению с твердыми коммунальными отходами за период с 01.01.2019 по 31.12.2022 в размере </w:t>
      </w:r>
      <w:r>
        <w:rPr>
          <w:rStyle w:val="cat-UserDefinedgrp-65rplc-19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а также расход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по уплате государственной пошлины в размере </w:t>
      </w:r>
      <w:r>
        <w:rPr>
          <w:rStyle w:val="cat-UserDefinedgrp-66rplc-20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Сургутский городской суд</w:t>
      </w:r>
      <w:r>
        <w:rPr>
          <w:rFonts w:ascii="Times New Roman" w:eastAsia="Times New Roman" w:hAnsi="Times New Roman" w:cs="Times New Roman"/>
        </w:rPr>
        <w:t xml:space="preserve"> ХМАО-Югры </w:t>
      </w:r>
      <w:r>
        <w:rPr>
          <w:rFonts w:ascii="Times New Roman" w:eastAsia="Times New Roman" w:hAnsi="Times New Roman" w:cs="Times New Roman"/>
        </w:rPr>
        <w:t>в течение месяца со дня принятия решения суда в окончательной форме путем подачи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Сургута ХМАО-Югры.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p>
      <w:pPr>
        <w:widowControl w:val="0"/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 3 Сургутского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Е.В. Ачкасова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«___» ____________________ 2024 года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  <w:sz w:val="22"/>
          <w:szCs w:val="22"/>
        </w:rPr>
        <w:t>7338</w:t>
      </w:r>
      <w:r>
        <w:rPr>
          <w:rFonts w:ascii="Times New Roman" w:eastAsia="Times New Roman" w:hAnsi="Times New Roman" w:cs="Times New Roman"/>
          <w:sz w:val="22"/>
          <w:szCs w:val="22"/>
        </w:rPr>
        <w:t>-2603/2024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____________________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12">
    <w:name w:val="cat-UserDefined grp-11 rplc-12"/>
    <w:basedOn w:val="DefaultParagraphFont"/>
  </w:style>
  <w:style w:type="character" w:customStyle="1" w:styleId="cat-UserDefinedgrp-64rplc-14">
    <w:name w:val="cat-UserDefined grp-64 rplc-14"/>
    <w:basedOn w:val="DefaultParagraphFont"/>
  </w:style>
  <w:style w:type="character" w:customStyle="1" w:styleId="cat-UserDefinedgrp-65rplc-18">
    <w:name w:val="cat-UserDefined grp-65 rplc-18"/>
    <w:basedOn w:val="DefaultParagraphFont"/>
  </w:style>
  <w:style w:type="character" w:customStyle="1" w:styleId="cat-UserDefinedgrp-66rplc-20">
    <w:name w:val="cat-UserDefined grp-66 rplc-20"/>
    <w:basedOn w:val="DefaultParagraphFont"/>
  </w:style>
  <w:style w:type="character" w:customStyle="1" w:styleId="cat-UserDefinedgrp-64rplc-26">
    <w:name w:val="cat-UserDefined grp-64 rplc-26"/>
    <w:basedOn w:val="DefaultParagraphFont"/>
  </w:style>
  <w:style w:type="character" w:customStyle="1" w:styleId="cat-UserDefinedgrp-67rplc-28">
    <w:name w:val="cat-UserDefined grp-67 rplc-28"/>
    <w:basedOn w:val="DefaultParagraphFont"/>
  </w:style>
  <w:style w:type="character" w:customStyle="1" w:styleId="cat-UserDefinedgrp-68rplc-30">
    <w:name w:val="cat-UserDefined grp-68 rplc-30"/>
    <w:basedOn w:val="DefaultParagraphFont"/>
  </w:style>
  <w:style w:type="character" w:customStyle="1" w:styleId="cat-UserDefinedgrp-11rplc-38">
    <w:name w:val="cat-UserDefined grp-11 rplc-38"/>
    <w:basedOn w:val="DefaultParagraphFont"/>
  </w:style>
  <w:style w:type="character" w:customStyle="1" w:styleId="cat-UserDefinedgrp-64rplc-40">
    <w:name w:val="cat-UserDefined grp-64 rplc-40"/>
    <w:basedOn w:val="DefaultParagraphFont"/>
  </w:style>
  <w:style w:type="character" w:customStyle="1" w:styleId="cat-UserDefinedgrp-11rplc-54">
    <w:name w:val="cat-UserDefined grp-11 rplc-54"/>
    <w:basedOn w:val="DefaultParagraphFont"/>
  </w:style>
  <w:style w:type="character" w:customStyle="1" w:styleId="cat-UserDefinedgrp-64rplc-56">
    <w:name w:val="cat-UserDefined grp-64 rplc-56"/>
    <w:basedOn w:val="DefaultParagraphFont"/>
  </w:style>
  <w:style w:type="character" w:customStyle="1" w:styleId="cat-UserDefinedgrp-65rplc-60">
    <w:name w:val="cat-UserDefined grp-65 rplc-60"/>
    <w:basedOn w:val="DefaultParagraphFont"/>
  </w:style>
  <w:style w:type="character" w:customStyle="1" w:styleId="cat-UserDefinedgrp-66rplc-62">
    <w:name w:val="cat-UserDefined grp-66 rplc-62"/>
    <w:basedOn w:val="DefaultParagraphFont"/>
  </w:style>
  <w:style w:type="character" w:customStyle="1" w:styleId="cat-UserDefinedgrp-69rplc-106">
    <w:name w:val="cat-UserDefined grp-69 rplc-106"/>
    <w:basedOn w:val="DefaultParagraphFont"/>
  </w:style>
  <w:style w:type="character" w:customStyle="1" w:styleId="cat-UserDefinedgrp-64rplc-108">
    <w:name w:val="cat-UserDefined grp-64 rplc-108"/>
    <w:basedOn w:val="DefaultParagraphFont"/>
  </w:style>
  <w:style w:type="character" w:customStyle="1" w:styleId="cat-UserDefinedgrp-65rplc-113">
    <w:name w:val="cat-UserDefined grp-65 rplc-113"/>
    <w:basedOn w:val="DefaultParagraphFont"/>
  </w:style>
  <w:style w:type="character" w:customStyle="1" w:styleId="cat-UserDefinedgrp-70rplc-115">
    <w:name w:val="cat-UserDefined grp-70 rplc-115"/>
    <w:basedOn w:val="DefaultParagraphFont"/>
  </w:style>
  <w:style w:type="character" w:customStyle="1" w:styleId="cat-UserDefinedgrp-64rplc-118">
    <w:name w:val="cat-UserDefined grp-64 rplc-118"/>
    <w:basedOn w:val="DefaultParagraphFont"/>
  </w:style>
  <w:style w:type="character" w:customStyle="1" w:styleId="cat-UserDefinedgrp-11rplc-124">
    <w:name w:val="cat-UserDefined grp-11 rplc-124"/>
    <w:basedOn w:val="DefaultParagraphFont"/>
  </w:style>
  <w:style w:type="character" w:customStyle="1" w:styleId="cat-UserDefinedgrp-71rplc-126">
    <w:name w:val="cat-UserDefined grp-71 rplc-126"/>
    <w:basedOn w:val="DefaultParagraphFont"/>
  </w:style>
  <w:style w:type="character" w:customStyle="1" w:styleId="cat-UserDefinedgrp-11rplc-128">
    <w:name w:val="cat-UserDefined grp-11 rplc-128"/>
    <w:basedOn w:val="DefaultParagraphFont"/>
  </w:style>
  <w:style w:type="character" w:customStyle="1" w:styleId="cat-UserDefinedgrp-72rplc-131">
    <w:name w:val="cat-UserDefined grp-72 rplc-131"/>
    <w:basedOn w:val="DefaultParagraphFont"/>
  </w:style>
  <w:style w:type="character" w:customStyle="1" w:styleId="cat-UserDefinedgrp-73rplc-135">
    <w:name w:val="cat-UserDefined grp-73 rplc-135"/>
    <w:basedOn w:val="DefaultParagraphFont"/>
  </w:style>
  <w:style w:type="character" w:customStyle="1" w:styleId="cat-UserDefinedgrp-64rplc-140">
    <w:name w:val="cat-UserDefined grp-64 rplc-140"/>
    <w:basedOn w:val="DefaultParagraphFont"/>
  </w:style>
  <w:style w:type="character" w:customStyle="1" w:styleId="cat-UserDefinedgrp-64rplc-148">
    <w:name w:val="cat-UserDefined grp-64 rplc-148"/>
    <w:basedOn w:val="DefaultParagraphFont"/>
  </w:style>
  <w:style w:type="character" w:customStyle="1" w:styleId="cat-UserDefinedgrp-74rplc-157">
    <w:name w:val="cat-UserDefined grp-74 rplc-157"/>
    <w:basedOn w:val="DefaultParagraphFont"/>
  </w:style>
  <w:style w:type="character" w:customStyle="1" w:styleId="cat-UserDefinedgrp-75rplc-161">
    <w:name w:val="cat-UserDefined grp-75 rplc-161"/>
    <w:basedOn w:val="DefaultParagraphFont"/>
  </w:style>
  <w:style w:type="character" w:customStyle="1" w:styleId="cat-UserDefinedgrp-65rplc-164">
    <w:name w:val="cat-UserDefined grp-65 rplc-164"/>
    <w:basedOn w:val="DefaultParagraphFont"/>
  </w:style>
  <w:style w:type="character" w:customStyle="1" w:styleId="cat-UserDefinedgrp-76rplc-167">
    <w:name w:val="cat-UserDefined grp-76 rplc-167"/>
    <w:basedOn w:val="DefaultParagraphFont"/>
  </w:style>
  <w:style w:type="character" w:customStyle="1" w:styleId="cat-UserDefinedgrp-74rplc-172">
    <w:name w:val="cat-UserDefined grp-74 rplc-172"/>
    <w:basedOn w:val="DefaultParagraphFont"/>
  </w:style>
  <w:style w:type="character" w:customStyle="1" w:styleId="cat-UserDefinedgrp-77rplc-177">
    <w:name w:val="cat-UserDefined grp-77 rplc-177"/>
    <w:basedOn w:val="DefaultParagraphFont"/>
  </w:style>
  <w:style w:type="character" w:customStyle="1" w:styleId="cat-UserDefinedgrp-78rplc-182">
    <w:name w:val="cat-UserDefined grp-78 rplc-182"/>
    <w:basedOn w:val="DefaultParagraphFont"/>
  </w:style>
  <w:style w:type="character" w:customStyle="1" w:styleId="cat-UserDefinedgrp-79rplc-185">
    <w:name w:val="cat-UserDefined grp-79 rplc-185"/>
    <w:basedOn w:val="DefaultParagraphFont"/>
  </w:style>
  <w:style w:type="character" w:customStyle="1" w:styleId="cat-UserDefinedgrp-80rplc-193">
    <w:name w:val="cat-UserDefined grp-80 rplc-193"/>
    <w:basedOn w:val="DefaultParagraphFont"/>
  </w:style>
  <w:style w:type="character" w:customStyle="1" w:styleId="cat-UserDefinedgrp-81rplc-196">
    <w:name w:val="cat-UserDefined grp-81 rplc-196"/>
    <w:basedOn w:val="DefaultParagraphFont"/>
  </w:style>
  <w:style w:type="character" w:customStyle="1" w:styleId="cat-UserDefinedgrp-65rplc-199">
    <w:name w:val="cat-UserDefined grp-65 rplc-199"/>
    <w:basedOn w:val="DefaultParagraphFont"/>
  </w:style>
  <w:style w:type="character" w:customStyle="1" w:styleId="cat-UserDefinedgrp-66rplc-201">
    <w:name w:val="cat-UserDefined grp-66 rplc-20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